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t xml:space="preserve">1.1. </w:t>
      </w:r>
      <w:r>
        <w:t>Арендодатель</w:t>
      </w:r>
      <w:r>
        <w:rPr>
          <w:sz w:val="24"/>
        </w:rPr>
        <w:t xml:space="preserve"> обязуется предоставить  во временное  владение  и пользование, а   Арендатор  прин</w:t>
      </w:r>
      <w:r>
        <w:rPr>
          <w:sz w:val="24"/>
        </w:rPr>
        <w:t>ять  на  условиях  настоящего  Договора земельный участок из земель населенных пунктов, с ка</w:t>
      </w:r>
      <w:r>
        <w:rPr>
          <w:sz w:val="24"/>
        </w:rPr>
        <w:t xml:space="preserve">дастровым </w:t>
      </w:r>
      <w:r>
        <w:rPr>
          <w:sz w:val="24"/>
        </w:rPr>
        <w:t>номером</w:t>
      </w:r>
      <w:r>
        <w:rPr>
          <w:sz w:val="24"/>
        </w:rPr>
        <w:t xml:space="preserve"> </w:t>
      </w:r>
      <w:r>
        <w:rPr>
          <w:sz w:val="24"/>
        </w:rPr>
        <w:t>23:39:0602001:1155</w:t>
      </w:r>
      <w:r>
        <w:rPr>
          <w:sz w:val="24"/>
        </w:rPr>
        <w:t xml:space="preserve">, общей площадью  </w:t>
      </w:r>
      <w:r>
        <w:rPr>
          <w:rFonts w:ascii="Times New Roman" w:hAnsi="Times New Roman"/>
          <w:sz w:val="24"/>
        </w:rPr>
        <w:t xml:space="preserve"> </w:t>
      </w:r>
      <w:r>
        <w:rPr>
          <w:sz w:val="24"/>
        </w:rPr>
        <w:t>938</w:t>
      </w:r>
      <w:r>
        <w:rPr>
          <w:sz w:val="24"/>
        </w:rPr>
        <w:t xml:space="preserve"> </w:t>
      </w:r>
      <w:r>
        <w:rPr>
          <w:sz w:val="24"/>
        </w:rPr>
        <w:t>кв.м</w:t>
      </w:r>
      <w:r>
        <w:rPr>
          <w:sz w:val="24"/>
        </w:rPr>
        <w:t>., расположен</w:t>
      </w:r>
      <w:r>
        <w:rPr>
          <w:sz w:val="24"/>
        </w:rPr>
        <w:t>ный по адресу:</w:t>
      </w:r>
      <w:r>
        <w:rPr>
          <w:sz w:val="24"/>
        </w:rPr>
        <w:t xml:space="preserve"> </w:t>
      </w:r>
      <w:r>
        <w:rPr>
          <w:sz w:val="24"/>
        </w:rPr>
        <w:t xml:space="preserve"> Российская Федерация, Краснодарский край, Белореченский муниципальный район, </w:t>
      </w:r>
      <w:r>
        <w:rPr>
          <w:sz w:val="24"/>
        </w:rPr>
        <w:t>Дружненское</w:t>
      </w:r>
      <w:r>
        <w:rPr>
          <w:sz w:val="24"/>
        </w:rPr>
        <w:t xml:space="preserve"> с/п., п. Дружный, ул. Степная, № 18</w:t>
      </w:r>
      <w:r>
        <w:rPr>
          <w:sz w:val="24"/>
        </w:rPr>
        <w:t xml:space="preserve"> </w:t>
      </w:r>
      <w:r>
        <w:rPr>
          <w:sz w:val="24"/>
        </w:rPr>
        <w:t xml:space="preserve">(далее - Участок), вид разрешенного использования: </w:t>
      </w:r>
      <w:r>
        <w:rPr>
          <w:sz w:val="24"/>
        </w:rPr>
        <w:t>для индивидуального жилищного строительства</w:t>
      </w:r>
      <w:r>
        <w:rPr>
          <w:sz w:val="24"/>
        </w:rPr>
        <w:t>.</w:t>
      </w:r>
    </w:p>
    <w:p w14:paraId="0A000000">
      <w:pPr>
        <w:tabs>
          <w:tab w:leader="none" w:pos="180" w:val="left"/>
        </w:tabs>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Сумма задатка</w:t>
      </w:r>
      <w:r>
        <w:rPr>
          <w:sz w:val="24"/>
        </w:rPr>
        <w:t xml:space="preserve"> в размере </w:t>
      </w:r>
      <w:r>
        <w:rPr>
          <w:sz w:val="24"/>
        </w:rPr>
        <w:t>100065,84</w:t>
      </w:r>
      <w:r>
        <w:rPr>
          <w:sz w:val="24"/>
        </w:rPr>
        <w:t xml:space="preserve"> руб. (</w:t>
      </w:r>
      <w:r>
        <w:rPr>
          <w:sz w:val="24"/>
        </w:rPr>
        <w:t>сто тысяч шестьдесят пять рублей 84 копейки</w:t>
      </w:r>
      <w:r>
        <w:rPr>
          <w:sz w:val="24"/>
        </w:rPr>
        <w:t>)</w:t>
      </w:r>
      <w:r>
        <w:rPr>
          <w:sz w:val="24"/>
        </w:rPr>
        <w:t>, перечисленная Арендатором для участия в торгах по продаже права на заключение договора аренды зе</w:t>
      </w:r>
      <w:r>
        <w:rPr>
          <w:sz w:val="24"/>
        </w:rPr>
        <w:t>мельного участка, засчитывается в счет арендной платы по договору за первый</w:t>
      </w:r>
      <w:r>
        <w:rPr>
          <w:sz w:val="24"/>
        </w:rPr>
        <w:t xml:space="preserve">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rPr>
          <w:sz w:val="24"/>
        </w:rPr>
        <w:t>2.2. Годовой размер арендной платы устанавливается по результатам торгов и составляет _________ (____________________________________) ру</w:t>
      </w:r>
      <w:r>
        <w:t xml:space="preserve">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405</w:t>
      </w:r>
      <w: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pPr>
      <w:r>
        <w:t>4.1.21. При хозяйственном освоении Участка соблюдать ограничения на использование территорий, попадающих в границы охранных зон.</w:t>
      </w:r>
    </w:p>
    <w:p w14:paraId="48000000">
      <w:pPr>
        <w:ind/>
        <w:jc w:val="both"/>
      </w:pPr>
      <w:r>
        <w:t>4.1.22. Нести другие обязанности, установленные законодательством Российской Федерации.</w:t>
      </w:r>
    </w:p>
    <w:p w14:paraId="49000000">
      <w:pPr>
        <w:ind/>
        <w:jc w:val="both"/>
      </w:pPr>
      <w:r>
        <w:t xml:space="preserve">4.1.23. </w:t>
      </w:r>
      <w:r>
        <w:t>В соответствии с п. 4 ст. 36 Федерального закона от 25.06.2002 г. № 73-ФЗ «Об объектах культурного наследия (памят</w:t>
      </w:r>
      <w:r>
        <w:t>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w:t>
      </w:r>
      <w:r>
        <w:t>.)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rPr>
      </w:pPr>
      <w:r>
        <w:rPr>
          <w:color w:val="000000"/>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rPr>
      </w:pPr>
    </w:p>
    <w:p w14:paraId="71000000">
      <w:pPr>
        <w:ind/>
        <w:jc w:val="center"/>
        <w:rPr>
          <w:b w:val="1"/>
        </w:rPr>
      </w:pPr>
      <w:r>
        <w:rPr>
          <w:b w:val="1"/>
        </w:rPr>
        <w:t>9. Особые условия</w:t>
      </w:r>
    </w:p>
    <w:p w14:paraId="72000000">
      <w:pPr>
        <w:ind/>
        <w:jc w:val="both"/>
      </w:pPr>
    </w:p>
    <w:p w14:paraId="73000000">
      <w:pPr>
        <w:ind/>
        <w:jc w:val="both"/>
        <w:rPr>
          <w:sz w:val="28"/>
          <w:highlight w:val="white"/>
        </w:rPr>
      </w:pPr>
      <w:r>
        <w:t>9.1</w:t>
      </w:r>
      <w:r>
        <w:rPr>
          <w:sz w:val="24"/>
        </w:rPr>
        <w:t>.</w:t>
      </w:r>
      <w:r>
        <w:rPr>
          <w:sz w:val="28"/>
        </w:rPr>
        <w:t xml:space="preserve"> </w:t>
      </w:r>
      <w:r>
        <w:rPr>
          <w:sz w:val="24"/>
        </w:rPr>
        <w:t xml:space="preserve">В границах участка проходит </w:t>
      </w:r>
      <w:r>
        <w:rPr>
          <w:sz w:val="24"/>
          <w:highlight w:val="white"/>
        </w:rPr>
        <w:t>с</w:t>
      </w:r>
      <w:r>
        <w:rPr>
          <w:sz w:val="24"/>
        </w:rPr>
        <w:t xml:space="preserve">ооружение </w:t>
      </w:r>
      <w:r>
        <w:rPr>
          <w:sz w:val="24"/>
        </w:rPr>
        <w:t>газохимического</w:t>
      </w:r>
      <w:r>
        <w:rPr>
          <w:sz w:val="24"/>
        </w:rPr>
        <w:t xml:space="preserve"> комплекса (23:39:0000000:3072), </w:t>
      </w:r>
      <w:r>
        <w:rPr>
          <w:sz w:val="24"/>
        </w:rPr>
        <w:t>являющийся</w:t>
      </w:r>
      <w:r>
        <w:rPr>
          <w:sz w:val="24"/>
        </w:rPr>
        <w:t xml:space="preserve"> собственностью </w:t>
      </w:r>
      <w:r>
        <w:rPr>
          <w:sz w:val="24"/>
        </w:rPr>
        <w:t>Дружненского</w:t>
      </w:r>
      <w:r>
        <w:rPr>
          <w:sz w:val="24"/>
        </w:rPr>
        <w:t xml:space="preserve"> сельского поселения. </w:t>
      </w:r>
      <w:r>
        <w:rPr>
          <w:sz w:val="24"/>
        </w:rPr>
        <w:t xml:space="preserve">При освоении учесть ограничения, установленные законодательством для зон с особыми условиями использования территории. Арендатор обязуется обеспечить сохранность сооружения </w:t>
      </w:r>
      <w:r>
        <w:rPr>
          <w:sz w:val="24"/>
        </w:rPr>
        <w:t xml:space="preserve">23:39:0000000:3072. </w:t>
      </w:r>
      <w:r>
        <w:rPr>
          <w:sz w:val="24"/>
        </w:rPr>
        <w:t>Регистрация права аренды или иных прав вследствие эксплуатации земельного участка в будущем, не влечет приобретения и регистрации прав на объект</w:t>
      </w:r>
      <w:r>
        <w:rPr>
          <w:sz w:val="24"/>
          <w:highlight w:val="white"/>
        </w:rPr>
        <w:t>.</w:t>
      </w:r>
    </w:p>
    <w:p w14:paraId="74000000">
      <w:pPr>
        <w:ind/>
        <w:jc w:val="both"/>
      </w:pPr>
      <w:r>
        <w:t>9.2.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5000000">
      <w:pPr>
        <w:ind/>
        <w:jc w:val="both"/>
      </w:pPr>
      <w:r>
        <w:t>9.</w:t>
      </w:r>
      <w:r>
        <w:t>3</w:t>
      </w:r>
      <w:r>
        <w:t>.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14:paraId="76000000">
      <w:pPr>
        <w:ind/>
        <w:jc w:val="both"/>
      </w:pPr>
      <w:r>
        <w:t>9.</w:t>
      </w:r>
      <w:r>
        <w:t>4</w:t>
      </w:r>
      <w:r>
        <w:t>. Срок действия договора субаренды не может превышать срока действия Договора.</w:t>
      </w:r>
    </w:p>
    <w:p w14:paraId="77000000">
      <w:pPr>
        <w:ind/>
        <w:jc w:val="both"/>
      </w:pPr>
      <w:r>
        <w:t>9.</w:t>
      </w:r>
      <w:r>
        <w:t>5</w:t>
      </w:r>
      <w:r>
        <w:t>. При досрочном расторжении Договора договор субаренды Участка прекращает свое действие.</w:t>
      </w:r>
    </w:p>
    <w:p w14:paraId="78000000">
      <w:pPr>
        <w:ind/>
        <w:jc w:val="both"/>
      </w:pPr>
      <w:r>
        <w:t>9.6</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9000000">
      <w:pPr>
        <w:ind/>
        <w:jc w:val="both"/>
      </w:pPr>
      <w:r>
        <w:t>9.</w:t>
      </w:r>
      <w:r>
        <w:t>7</w:t>
      </w:r>
      <w:r>
        <w:t>. При досрочном завершении строительства Арендатор обязан в десятидневный срок уведомить Арендодателя.</w:t>
      </w:r>
    </w:p>
    <w:p w14:paraId="7A000000">
      <w:pPr>
        <w:ind/>
        <w:jc w:val="both"/>
      </w:pPr>
      <w:bookmarkStart w:id="1" w:name="_heading=h.gjdgxs"/>
      <w:bookmarkEnd w:id="1"/>
      <w:r>
        <w:t>9.8</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B000000">
      <w:pPr>
        <w:ind/>
        <w:jc w:val="both"/>
      </w:pPr>
    </w:p>
    <w:p w14:paraId="7C000000">
      <w:pPr>
        <w:ind/>
        <w:jc w:val="center"/>
        <w:rPr>
          <w:b w:val="1"/>
        </w:rPr>
      </w:pPr>
      <w:r>
        <w:rPr>
          <w:b w:val="1"/>
        </w:rPr>
        <w:t>10. Заключительные положения</w:t>
      </w:r>
    </w:p>
    <w:p w14:paraId="7D000000">
      <w:pPr>
        <w:ind/>
        <w:jc w:val="center"/>
        <w:rPr>
          <w:b w:val="1"/>
        </w:rPr>
      </w:pPr>
    </w:p>
    <w:p w14:paraId="7E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F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80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1000000">
      <w:pPr>
        <w:ind/>
        <w:jc w:val="both"/>
      </w:pPr>
      <w:r>
        <w:t>10.3. В качестве неотъемлемой части Договора к нему прилагается протокол о результатах торгов.</w:t>
      </w:r>
    </w:p>
    <w:p w14:paraId="82000000">
      <w:pPr>
        <w:ind/>
        <w:jc w:val="center"/>
      </w:pPr>
      <w:r>
        <w:rPr>
          <w:b w:val="1"/>
        </w:rPr>
        <w:t>Юридические адреса и реквизиты сторон</w:t>
      </w:r>
    </w:p>
    <w:p w14:paraId="83000000"/>
    <w:p w14:paraId="84000000">
      <w:r>
        <w:t xml:space="preserve">            Арендодатель                                                                         Арендатор</w:t>
      </w:r>
    </w:p>
    <w:p w14:paraId="85000000">
      <w:r>
        <w:t xml:space="preserve">352630, Краснодарский край, </w:t>
      </w:r>
    </w:p>
    <w:p w14:paraId="86000000">
      <w:r>
        <w:t>г</w:t>
      </w:r>
      <w:r>
        <w:t>.Б</w:t>
      </w:r>
      <w:r>
        <w:t>елореченск</w:t>
      </w:r>
      <w:r>
        <w:t>, ул.</w:t>
      </w:r>
      <w:r>
        <w:t xml:space="preserve"> </w:t>
      </w:r>
      <w:r>
        <w:t>Ленина, 66</w:t>
      </w:r>
    </w:p>
    <w:p w14:paraId="87000000"/>
    <w:p w14:paraId="88000000">
      <w:pPr>
        <w:ind/>
        <w:jc w:val="center"/>
      </w:pPr>
      <w:r>
        <w:rPr>
          <w:b w:val="1"/>
        </w:rPr>
        <w:t>Подписи сторон</w:t>
      </w:r>
    </w:p>
    <w:p w14:paraId="89000000">
      <w:r>
        <w:t xml:space="preserve">             Арендодатель                                                                          Арендатор</w:t>
      </w:r>
    </w:p>
    <w:p w14:paraId="8A000000">
      <w:r>
        <w:t xml:space="preserve"> 352630, Краснодарский край, </w:t>
      </w:r>
    </w:p>
    <w:p w14:paraId="8B000000">
      <w:r>
        <w:t>г</w:t>
      </w:r>
      <w:r>
        <w:t>.Б</w:t>
      </w:r>
      <w:r>
        <w:t>елореченск</w:t>
      </w:r>
      <w:r>
        <w:t>, ул.</w:t>
      </w:r>
      <w:r>
        <w:t xml:space="preserve"> </w:t>
      </w:r>
      <w:bookmarkStart w:id="2" w:name="_GoBack"/>
      <w:bookmarkEnd w:id="2"/>
      <w:r>
        <w:t>Ленина, 66</w:t>
      </w:r>
    </w:p>
    <w:p w14:paraId="8C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Таблицы (моноширинный)"/>
    <w:basedOn w:val="Style_1"/>
    <w:next w:val="Style_1"/>
    <w:link w:val="Style_3_ch"/>
    <w:pPr>
      <w:widowControl w:val="0"/>
      <w:ind/>
      <w:jc w:val="both"/>
    </w:pPr>
    <w:rPr>
      <w:rFonts w:ascii="Courier New" w:hAnsi="Courier New"/>
      <w:sz w:val="20"/>
    </w:rPr>
  </w:style>
  <w:style w:styleId="Style_3_ch" w:type="character">
    <w:name w:val="Таблицы (моноширинный)"/>
    <w:basedOn w:val="Style_1_ch"/>
    <w:link w:val="Style_3"/>
    <w:rPr>
      <w:rFonts w:ascii="Courier New" w:hAnsi="Courier New"/>
      <w:sz w:val="20"/>
    </w:rPr>
  </w:style>
  <w:style w:styleId="Style_4" w:type="paragraph">
    <w:name w:val="Body Text 2"/>
    <w:basedOn w:val="Style_1"/>
    <w:link w:val="Style_4_ch"/>
    <w:pPr>
      <w:spacing w:after="120" w:line="480" w:lineRule="auto"/>
      <w:ind/>
    </w:pPr>
  </w:style>
  <w:style w:styleId="Style_4_ch" w:type="character">
    <w:name w:val="Body Text 2"/>
    <w:basedOn w:val="Style_1_ch"/>
    <w:link w:val="Style_4"/>
  </w:style>
  <w:style w:styleId="Style_5" w:type="paragraph">
    <w:name w:val="toc 4"/>
    <w:next w:val="Style_1"/>
    <w:link w:val="Style_5_ch"/>
    <w:uiPriority w:val="39"/>
    <w:pPr>
      <w:ind w:firstLine="0" w:left="600"/>
      <w:jc w:val="left"/>
    </w:pPr>
    <w:rPr>
      <w:rFonts w:ascii="XO Thames" w:hAnsi="XO Thames"/>
      <w:sz w:val="28"/>
    </w:rPr>
  </w:style>
  <w:style w:styleId="Style_5_ch" w:type="character">
    <w:name w:val="toc 4"/>
    <w:link w:val="Style_5"/>
    <w:rPr>
      <w:rFonts w:ascii="XO Thames" w:hAnsi="XO Thames"/>
      <w:sz w:val="28"/>
    </w:rPr>
  </w:style>
  <w:style w:styleId="Style_6" w:type="paragraph">
    <w:name w:val="Default Paragraph Font"/>
    <w:link w:val="Style_6_ch"/>
  </w:style>
  <w:style w:styleId="Style_6_ch" w:type="character">
    <w:name w:val="Default Paragraph Font"/>
    <w:link w:val="Style_6"/>
  </w:style>
  <w:style w:styleId="Style_7" w:type="paragraph">
    <w:name w:val="toc 6"/>
    <w:next w:val="Style_1"/>
    <w:link w:val="Style_7_ch"/>
    <w:uiPriority w:val="39"/>
    <w:pPr>
      <w:ind w:firstLine="0" w:left="1000"/>
      <w:jc w:val="left"/>
    </w:pPr>
    <w:rPr>
      <w:rFonts w:ascii="XO Thames" w:hAnsi="XO Thames"/>
      <w:sz w:val="28"/>
    </w:rPr>
  </w:style>
  <w:style w:styleId="Style_7_ch" w:type="character">
    <w:name w:val="toc 6"/>
    <w:link w:val="Style_7"/>
    <w:rPr>
      <w:rFonts w:ascii="XO Thames" w:hAnsi="XO Thames"/>
      <w:sz w:val="28"/>
    </w:rPr>
  </w:style>
  <w:style w:styleId="Style_8" w:type="paragraph">
    <w:name w:val="toc 7"/>
    <w:next w:val="Style_1"/>
    <w:link w:val="Style_8_ch"/>
    <w:uiPriority w:val="39"/>
    <w:pPr>
      <w:ind w:firstLine="0" w:left="1200"/>
      <w:jc w:val="left"/>
    </w:pPr>
    <w:rPr>
      <w:rFonts w:ascii="XO Thames" w:hAnsi="XO Thames"/>
      <w:sz w:val="28"/>
    </w:rPr>
  </w:style>
  <w:style w:styleId="Style_8_ch" w:type="character">
    <w:name w:val="toc 7"/>
    <w:link w:val="Style_8"/>
    <w:rPr>
      <w:rFonts w:ascii="XO Thames" w:hAnsi="XO Thames"/>
      <w:sz w:val="28"/>
    </w:rPr>
  </w:style>
  <w:style w:styleId="Style_9" w:type="paragraph">
    <w:name w:val="heading 3"/>
    <w:basedOn w:val="Style_1"/>
    <w:next w:val="Style_1"/>
    <w:link w:val="Style_9_ch"/>
    <w:uiPriority w:val="9"/>
    <w:qFormat/>
    <w:pPr>
      <w:keepNext w:val="1"/>
      <w:keepLines w:val="1"/>
      <w:spacing w:after="80" w:before="280"/>
      <w:ind/>
      <w:outlineLvl w:val="2"/>
    </w:pPr>
    <w:rPr>
      <w:b w:val="1"/>
      <w:sz w:val="28"/>
    </w:rPr>
  </w:style>
  <w:style w:styleId="Style_9_ch" w:type="character">
    <w:name w:val="heading 3"/>
    <w:basedOn w:val="Style_1_ch"/>
    <w:link w:val="Style_9"/>
    <w:rPr>
      <w:b w:val="1"/>
      <w:sz w:val="28"/>
    </w:rPr>
  </w:style>
  <w:style w:styleId="Style_10" w:type="paragraph">
    <w:name w:val="Body Text Indent 3"/>
    <w:basedOn w:val="Style_1"/>
    <w:link w:val="Style_10_ch"/>
    <w:pPr>
      <w:spacing w:after="120"/>
      <w:ind w:firstLine="0" w:left="283"/>
    </w:pPr>
    <w:rPr>
      <w:sz w:val="16"/>
    </w:rPr>
  </w:style>
  <w:style w:styleId="Style_10_ch" w:type="character">
    <w:name w:val="Body Text Indent 3"/>
    <w:basedOn w:val="Style_1_ch"/>
    <w:link w:val="Style_10"/>
    <w:rPr>
      <w:sz w:val="16"/>
    </w:rPr>
  </w:style>
  <w:style w:styleId="Style_11" w:type="paragraph">
    <w:name w:val="Гипертекстовая ссылка"/>
    <w:link w:val="Style_11_ch"/>
    <w:rPr>
      <w:b w:val="1"/>
      <w:color w:val="008000"/>
      <w:sz w:val="20"/>
      <w:u w:val="single"/>
    </w:rPr>
  </w:style>
  <w:style w:styleId="Style_11_ch" w:type="character">
    <w:name w:val="Гипертекстовая ссылка"/>
    <w:link w:val="Style_11"/>
    <w:rPr>
      <w:b w:val="1"/>
      <w:color w:val="008000"/>
      <w:sz w:val="20"/>
      <w:u w:val="single"/>
    </w:rPr>
  </w:style>
  <w:style w:styleId="Style_12" w:type="paragraph">
    <w:name w:val="toc 3"/>
    <w:next w:val="Style_1"/>
    <w:link w:val="Style_12_ch"/>
    <w:uiPriority w:val="39"/>
    <w:pPr>
      <w:ind w:firstLine="0" w:left="400"/>
      <w:jc w:val="left"/>
    </w:pPr>
    <w:rPr>
      <w:rFonts w:ascii="XO Thames" w:hAnsi="XO Thames"/>
      <w:sz w:val="28"/>
    </w:rPr>
  </w:style>
  <w:style w:styleId="Style_12_ch" w:type="character">
    <w:name w:val="toc 3"/>
    <w:link w:val="Style_12"/>
    <w:rPr>
      <w:rFonts w:ascii="XO Thames" w:hAnsi="XO Thames"/>
      <w:sz w:val="28"/>
    </w:rPr>
  </w:style>
  <w:style w:styleId="Style_13" w:type="paragraph">
    <w:name w:val="heading 5"/>
    <w:basedOn w:val="Style_1"/>
    <w:next w:val="Style_1"/>
    <w:link w:val="Style_13_ch"/>
    <w:uiPriority w:val="9"/>
    <w:qFormat/>
    <w:pPr>
      <w:keepNext w:val="1"/>
      <w:keepLines w:val="1"/>
      <w:spacing w:after="40" w:before="220"/>
      <w:ind/>
      <w:outlineLvl w:val="4"/>
    </w:pPr>
    <w:rPr>
      <w:b w:val="1"/>
      <w:sz w:val="22"/>
    </w:rPr>
  </w:style>
  <w:style w:styleId="Style_13_ch" w:type="character">
    <w:name w:val="heading 5"/>
    <w:basedOn w:val="Style_1_ch"/>
    <w:link w:val="Style_13"/>
    <w:rPr>
      <w:b w:val="1"/>
      <w:sz w:val="22"/>
    </w:rPr>
  </w:style>
  <w:style w:styleId="Style_14" w:type="paragraph">
    <w:name w:val="heading 1"/>
    <w:basedOn w:val="Style_1"/>
    <w:next w:val="Style_1"/>
    <w:link w:val="Style_14_ch"/>
    <w:uiPriority w:val="9"/>
    <w:qFormat/>
    <w:pPr>
      <w:keepNext w:val="1"/>
      <w:widowControl w:val="0"/>
      <w:spacing w:line="400" w:lineRule="exact"/>
      <w:ind w:firstLine="0" w:left="3700" w:right="3600"/>
      <w:jc w:val="both"/>
      <w:outlineLvl w:val="0"/>
    </w:pPr>
    <w:rPr>
      <w:b w:val="1"/>
      <w:sz w:val="28"/>
    </w:rPr>
  </w:style>
  <w:style w:styleId="Style_14_ch" w:type="character">
    <w:name w:val="heading 1"/>
    <w:basedOn w:val="Style_1_ch"/>
    <w:link w:val="Style_14"/>
    <w:rPr>
      <w:b w:val="1"/>
      <w:sz w:val="28"/>
    </w:rPr>
  </w:style>
  <w:style w:styleId="Style_15" w:type="paragraph">
    <w:name w:val="List Paragraph"/>
    <w:basedOn w:val="Style_1"/>
    <w:link w:val="Style_15_ch"/>
    <w:pPr>
      <w:ind w:firstLine="0" w:left="720"/>
      <w:contextualSpacing w:val="1"/>
    </w:pPr>
  </w:style>
  <w:style w:styleId="Style_15_ch" w:type="character">
    <w:name w:val="List Paragraph"/>
    <w:basedOn w:val="Style_1_ch"/>
    <w:link w:val="Style_15"/>
  </w:style>
  <w:style w:styleId="Style_16" w:type="paragraph">
    <w:name w:val="Hyperlink"/>
    <w:link w:val="Style_16_ch"/>
    <w:rPr>
      <w:color w:val="0000FF"/>
      <w:u w:val="single"/>
    </w:rPr>
  </w:style>
  <w:style w:styleId="Style_16_ch" w:type="character">
    <w:name w:val="Hyperlink"/>
    <w:link w:val="Style_16"/>
    <w:rPr>
      <w:color w:val="0000FF"/>
      <w:u w:val="single"/>
    </w:rPr>
  </w:style>
  <w:style w:styleId="Style_17" w:type="paragraph">
    <w:name w:val="Footnote"/>
    <w:link w:val="Style_17_ch"/>
    <w:pPr>
      <w:ind w:firstLine="851" w:left="0"/>
      <w:jc w:val="both"/>
    </w:pPr>
    <w:rPr>
      <w:rFonts w:ascii="XO Thames" w:hAnsi="XO Thames"/>
      <w:sz w:val="22"/>
    </w:rPr>
  </w:style>
  <w:style w:styleId="Style_17_ch" w:type="character">
    <w:name w:val="Footnote"/>
    <w:link w:val="Style_17"/>
    <w:rPr>
      <w:rFonts w:ascii="XO Thames" w:hAnsi="XO Thames"/>
      <w:sz w:val="22"/>
    </w:rPr>
  </w:style>
  <w:style w:styleId="Style_18" w:type="paragraph">
    <w:name w:val="toc 1"/>
    <w:next w:val="Style_1"/>
    <w:link w:val="Style_18_ch"/>
    <w:uiPriority w:val="39"/>
    <w:pPr>
      <w:ind w:firstLine="0" w:left="0"/>
      <w:jc w:val="left"/>
    </w:pPr>
    <w:rPr>
      <w:rFonts w:ascii="XO Thames" w:hAnsi="XO Thames"/>
      <w:b w:val="1"/>
      <w:sz w:val="28"/>
    </w:rPr>
  </w:style>
  <w:style w:styleId="Style_18_ch" w:type="character">
    <w:name w:val="toc 1"/>
    <w:link w:val="Style_18"/>
    <w:rPr>
      <w:rFonts w:ascii="XO Thames" w:hAnsi="XO Thames"/>
      <w:b w:val="1"/>
      <w:sz w:val="28"/>
    </w:rPr>
  </w:style>
  <w:style w:styleId="Style_19" w:type="paragraph">
    <w:name w:val="Header and Footer"/>
    <w:link w:val="Style_19_ch"/>
    <w:pPr>
      <w:spacing w:line="240" w:lineRule="auto"/>
      <w:ind/>
      <w:jc w:val="both"/>
    </w:pPr>
    <w:rPr>
      <w:rFonts w:ascii="XO Thames" w:hAnsi="XO Thames"/>
      <w:sz w:val="20"/>
    </w:rPr>
  </w:style>
  <w:style w:styleId="Style_19_ch" w:type="character">
    <w:name w:val="Header and Footer"/>
    <w:link w:val="Style_19"/>
    <w:rPr>
      <w:rFonts w:ascii="XO Thames" w:hAnsi="XO Thames"/>
      <w:sz w:val="20"/>
    </w:rPr>
  </w:style>
  <w:style w:styleId="Style_20" w:type="paragraph">
    <w:name w:val="toc 9"/>
    <w:next w:val="Style_1"/>
    <w:link w:val="Style_20_ch"/>
    <w:uiPriority w:val="39"/>
    <w:pPr>
      <w:ind w:firstLine="0" w:left="1600"/>
      <w:jc w:val="left"/>
    </w:pPr>
    <w:rPr>
      <w:rFonts w:ascii="XO Thames" w:hAnsi="XO Thames"/>
      <w:sz w:val="28"/>
    </w:rPr>
  </w:style>
  <w:style w:styleId="Style_20_ch" w:type="character">
    <w:name w:val="toc 9"/>
    <w:link w:val="Style_20"/>
    <w:rPr>
      <w:rFonts w:ascii="XO Thames" w:hAnsi="XO Thames"/>
      <w:sz w:val="28"/>
    </w:rPr>
  </w:style>
  <w:style w:styleId="Style_21" w:type="paragraph">
    <w:name w:val="toc 8"/>
    <w:next w:val="Style_1"/>
    <w:link w:val="Style_21_ch"/>
    <w:uiPriority w:val="39"/>
    <w:pPr>
      <w:ind w:firstLine="0" w:left="1400"/>
      <w:jc w:val="left"/>
    </w:pPr>
    <w:rPr>
      <w:rFonts w:ascii="XO Thames" w:hAnsi="XO Thames"/>
      <w:sz w:val="28"/>
    </w:rPr>
  </w:style>
  <w:style w:styleId="Style_21_ch" w:type="character">
    <w:name w:val="toc 8"/>
    <w:link w:val="Style_21"/>
    <w:rPr>
      <w:rFonts w:ascii="XO Thames" w:hAnsi="XO Thames"/>
      <w:sz w:val="28"/>
    </w:rPr>
  </w:style>
  <w:style w:styleId="Style_22" w:type="paragraph">
    <w:name w:val="toc 5"/>
    <w:next w:val="Style_1"/>
    <w:link w:val="Style_22_ch"/>
    <w:uiPriority w:val="39"/>
    <w:pPr>
      <w:ind w:firstLine="0" w:left="800"/>
      <w:jc w:val="left"/>
    </w:pPr>
    <w:rPr>
      <w:rFonts w:ascii="XO Thames" w:hAnsi="XO Thames"/>
      <w:sz w:val="28"/>
    </w:rPr>
  </w:style>
  <w:style w:styleId="Style_22_ch" w:type="character">
    <w:name w:val="toc 5"/>
    <w:link w:val="Style_22"/>
    <w:rPr>
      <w:rFonts w:ascii="XO Thames" w:hAnsi="XO Thames"/>
      <w:sz w:val="28"/>
    </w:rPr>
  </w:style>
  <w:style w:styleId="Style_23" w:type="paragraph">
    <w:name w:val="Body Text 3"/>
    <w:basedOn w:val="Style_1"/>
    <w:link w:val="Style_23_ch"/>
    <w:pPr>
      <w:spacing w:after="120"/>
      <w:ind/>
    </w:pPr>
    <w:rPr>
      <w:sz w:val="16"/>
    </w:rPr>
  </w:style>
  <w:style w:styleId="Style_23_ch" w:type="character">
    <w:name w:val="Body Text 3"/>
    <w:basedOn w:val="Style_1_ch"/>
    <w:link w:val="Style_23"/>
    <w:rPr>
      <w:sz w:val="16"/>
    </w:rPr>
  </w:style>
  <w:style w:styleId="Style_24" w:type="paragraph">
    <w:name w:val="Body Text Indent 2"/>
    <w:basedOn w:val="Style_1"/>
    <w:link w:val="Style_24_ch"/>
    <w:pPr>
      <w:widowControl w:val="0"/>
      <w:spacing w:after="20" w:before="20"/>
      <w:ind w:firstLine="360" w:left="0" w:right="-8"/>
      <w:jc w:val="both"/>
    </w:pPr>
  </w:style>
  <w:style w:styleId="Style_24_ch" w:type="character">
    <w:name w:val="Body Text Indent 2"/>
    <w:basedOn w:val="Style_1_ch"/>
    <w:link w:val="Style_24"/>
  </w:style>
  <w:style w:styleId="Style_25" w:type="paragraph">
    <w:name w:val="Subtitle"/>
    <w:basedOn w:val="Style_1"/>
    <w:next w:val="Style_1"/>
    <w:link w:val="Style_25_ch"/>
    <w:uiPriority w:val="11"/>
    <w:qFormat/>
    <w:pPr>
      <w:keepNext w:val="1"/>
      <w:keepLines w:val="1"/>
      <w:spacing w:after="80" w:before="360"/>
      <w:ind/>
    </w:pPr>
    <w:rPr>
      <w:rFonts w:ascii="Georgia" w:hAnsi="Georgia"/>
      <w:i w:val="1"/>
      <w:color w:val="666666"/>
      <w:sz w:val="48"/>
    </w:rPr>
  </w:style>
  <w:style w:styleId="Style_25_ch" w:type="character">
    <w:name w:val="Subtitle"/>
    <w:basedOn w:val="Style_1_ch"/>
    <w:link w:val="Style_25"/>
    <w:rPr>
      <w:rFonts w:ascii="Georgia" w:hAnsi="Georgia"/>
      <w:i w:val="1"/>
      <w:color w:val="666666"/>
      <w:sz w:val="48"/>
    </w:rPr>
  </w:style>
  <w:style w:styleId="Style_26" w:type="paragraph">
    <w:name w:val="Title"/>
    <w:basedOn w:val="Style_1"/>
    <w:next w:val="Style_1"/>
    <w:link w:val="Style_26_ch"/>
    <w:uiPriority w:val="10"/>
    <w:qFormat/>
    <w:pPr>
      <w:keepNext w:val="1"/>
      <w:keepLines w:val="1"/>
      <w:spacing w:after="120" w:before="480"/>
      <w:ind/>
    </w:pPr>
    <w:rPr>
      <w:b w:val="1"/>
      <w:sz w:val="72"/>
    </w:rPr>
  </w:style>
  <w:style w:styleId="Style_26_ch" w:type="character">
    <w:name w:val="Title"/>
    <w:basedOn w:val="Style_1_ch"/>
    <w:link w:val="Style_26"/>
    <w:rPr>
      <w:b w:val="1"/>
      <w:sz w:val="72"/>
    </w:rPr>
  </w:style>
  <w:style w:styleId="Style_27" w:type="paragraph">
    <w:name w:val="heading 4"/>
    <w:basedOn w:val="Style_1"/>
    <w:next w:val="Style_1"/>
    <w:link w:val="Style_27_ch"/>
    <w:uiPriority w:val="9"/>
    <w:qFormat/>
    <w:pPr>
      <w:keepNext w:val="1"/>
      <w:keepLines w:val="1"/>
      <w:spacing w:after="40" w:before="240"/>
      <w:ind/>
      <w:outlineLvl w:val="3"/>
    </w:pPr>
    <w:rPr>
      <w:b w:val="1"/>
    </w:rPr>
  </w:style>
  <w:style w:styleId="Style_27_ch" w:type="character">
    <w:name w:val="heading 4"/>
    <w:basedOn w:val="Style_1_ch"/>
    <w:link w:val="Style_27"/>
    <w:rPr>
      <w:b w:val="1"/>
    </w:rPr>
  </w:style>
  <w:style w:styleId="Style_28" w:type="paragraph">
    <w:name w:val="heading 2"/>
    <w:basedOn w:val="Style_1"/>
    <w:next w:val="Style_1"/>
    <w:link w:val="Style_28_ch"/>
    <w:uiPriority w:val="9"/>
    <w:qFormat/>
    <w:pPr>
      <w:keepNext w:val="1"/>
      <w:keepLines w:val="1"/>
      <w:spacing w:after="80" w:before="360"/>
      <w:ind/>
      <w:outlineLvl w:val="1"/>
    </w:pPr>
    <w:rPr>
      <w:b w:val="1"/>
      <w:sz w:val="36"/>
    </w:rPr>
  </w:style>
  <w:style w:styleId="Style_28_ch" w:type="character">
    <w:name w:val="heading 2"/>
    <w:basedOn w:val="Style_1_ch"/>
    <w:link w:val="Style_28"/>
    <w:rPr>
      <w:b w:val="1"/>
      <w:sz w:val="36"/>
    </w:rPr>
  </w:style>
  <w:style w:styleId="Style_29" w:type="paragraph">
    <w:name w:val="Цветовое выделение"/>
    <w:link w:val="Style_29_ch"/>
    <w:rPr>
      <w:b w:val="1"/>
      <w:color w:val="000080"/>
      <w:sz w:val="20"/>
    </w:rPr>
  </w:style>
  <w:style w:styleId="Style_29_ch" w:type="character">
    <w:name w:val="Цветовое выделение"/>
    <w:link w:val="Style_29"/>
    <w:rPr>
      <w:b w:val="1"/>
      <w:color w:val="000080"/>
      <w:sz w:val="20"/>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default="1" w:styleId="Style_39" w:type="table">
    <w:name w:val="Normal Table"/>
    <w:tblPr>
      <w:tblInd w:type="dxa" w:w="0"/>
      <w:tblCellMar>
        <w:top w:type="dxa" w:w="0"/>
        <w:left w:type="dxa" w:w="108"/>
        <w:bottom w:type="dxa" w:w="0"/>
        <w:right w:type="dxa" w:w="108"/>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2023-12-23T18:21:57Z</dcterms:modified>
</cp:coreProperties>
</file>